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2DF37" w14:textId="12C983FE" w:rsidR="008261B3" w:rsidRPr="008261B3" w:rsidRDefault="004942C9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en-GB" w:eastAsia="tr-TR"/>
          <w14:ligatures w14:val="none"/>
        </w:rPr>
        <w:drawing>
          <wp:inline distT="0" distB="0" distL="0" distR="0" wp14:anchorId="2FE8D1D9" wp14:editId="23BFDE8D">
            <wp:extent cx="5756910" cy="1214120"/>
            <wp:effectExtent l="0" t="0" r="0" b="5080"/>
            <wp:docPr id="205696085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Fjalor</w:t>
      </w:r>
      <w:proofErr w:type="spellEnd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Shpjegues</w:t>
      </w:r>
      <w:proofErr w:type="spellEnd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mbi</w:t>
      </w:r>
      <w:proofErr w:type="spellEnd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Realitetin</w:t>
      </w:r>
      <w:proofErr w:type="spellEnd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Virtual, të Shtuar dhe të Përzier</w:t>
      </w:r>
    </w:p>
    <w:p w14:paraId="6CDA3A10" w14:textId="15713FD1" w:rsidR="008261B3" w:rsidRPr="008261B3" w:rsidRDefault="008261B3" w:rsidP="008261B3">
      <w:pPr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  <w:t>Për Shkollat e Arsimit dhe Trajnimit Profesional (AFP) – Niveli 4 dhe Niveli 5 i KEK-ut</w:t>
      </w:r>
    </w:p>
    <w:p w14:paraId="0AF26609" w14:textId="3B8884D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DCB5621" w14:textId="1A8A0257" w:rsidR="008261B3" w:rsidRPr="004942C9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4942C9">
        <w:rPr>
          <w:rFonts w:eastAsia="Times New Roman"/>
          <w:b/>
          <w:bCs/>
          <w:sz w:val="22"/>
          <w:szCs w:val="22"/>
          <w:lang w:val="it-IT" w:eastAsia="tr-TR"/>
        </w:rPr>
        <w:t>PJESA I – BAZAT E TEKNOLOGJIVE IMERZIVE</w:t>
      </w:r>
    </w:p>
    <w:p w14:paraId="6CB3ECE7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1. Realiteti Virtual (VR)</w:t>
      </w:r>
    </w:p>
    <w:p w14:paraId="4D944D9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mjedis tre-dimensional i gjeneruar plotësisht nga kompjuteri ku përdoruesit mund të bashkëveprojnë sikur të ishin të pranishëm fizikisht.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proofErr w:type="spell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Shembull</w:t>
      </w:r>
      <w:proofErr w:type="spellEnd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: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Një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student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mekatronikës operon virtualisht një makinë CNC.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Qëllimi: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Mundëson trajnim të sigurt, të përsëritshëm dhe me kosto efektive.</w:t>
      </w:r>
    </w:p>
    <w:p w14:paraId="73D5A4D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4D721E88" w14:textId="2552C829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2. Realiteti i Shtuar (AR)</w:t>
      </w:r>
    </w:p>
    <w:p w14:paraId="2E0A1E7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Shton shtresa dixhitale - tekst, objekte 3D, udhëzime - në botën fizike nëpërmjet telefonave, tabletave ose syzeve AR.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Përdorimi: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Shfaq diagramet e instalimeve elektrike direkt mbi një tabelë elektrike.</w:t>
      </w:r>
    </w:p>
    <w:p w14:paraId="5210EB4A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553FE458" w14:textId="66226F33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3. Realitet i Përzier (MR)</w:t>
      </w:r>
    </w:p>
    <w:p w14:paraId="0F27DC6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Integron elementët realë dhe virtualë në mënyrë që ata të bashkëveprojnë në kohë reale.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Shembull: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Rrotullimi i një valvule reale rregullon një matës virtual presioni.</w:t>
      </w:r>
    </w:p>
    <w:p w14:paraId="45E873D9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73E8255" w14:textId="6E1F6812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4. Realiteti i Zgjeruar (XR)</w:t>
      </w:r>
    </w:p>
    <w:p w14:paraId="041AAB7C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Term ombrellë për VR + AR + MR dhe formatet e ardhshme gjithëpërfshirëse.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Kuptimi: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“XR” përdoret shpesh në politikat arsimore të BE-së për të përshkruar teknologjinë e të mësuarit gjithëpërfshirës.</w:t>
      </w:r>
    </w:p>
    <w:p w14:paraId="047203FD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E3154CB" w14:textId="01B128AC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5. Zhytje</w:t>
      </w:r>
    </w:p>
    <w:p w14:paraId="158EB1B0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Gjendja psikologjike e të qenit “brenda” mjedisit dixhital. Ndikuar nga pamjet, tingujt dhe ndërveprimi.</w:t>
      </w:r>
    </w:p>
    <w:p w14:paraId="64C1F710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E435A6C" w14:textId="250FA88D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6. Prania</w:t>
      </w:r>
    </w:p>
    <w:p w14:paraId="18F09E8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Perceptimi i përdoruesit se bota virtuale është e vërtetë. Arrihet kur truri i pranon stimujt virtualë si realë.</w:t>
      </w:r>
    </w:p>
    <w:p w14:paraId="4D9124B7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61FE6AD8" w14:textId="00300735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7. Ndërveprimi</w:t>
      </w:r>
    </w:p>
    <w:p w14:paraId="7855DD7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Shkalla në të cilën përdoruesit mund të manipulojnë ose ndikojnë në mjedis.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Ndërveprim i lartë = angazhim më i thellë = rezultate më të mira të të nxënit.</w:t>
      </w:r>
    </w:p>
    <w:p w14:paraId="5E265628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11D5DB8" w14:textId="543A5D9E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8. Realizëm dhe Besnikëri</w:t>
      </w:r>
    </w:p>
    <w:p w14:paraId="2EA126B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Saktësia e grafikës, fizikës dhe zërit krahasuar me botën reale.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Simulimet me besueshmëri të lartë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janë thelbësore në praktikën profesionale.</w:t>
      </w:r>
    </w:p>
    <w:p w14:paraId="21644322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7756661C" w14:textId="7FC41B9D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9. Mjedisi Virtual (VE)</w:t>
      </w:r>
    </w:p>
    <w:p w14:paraId="48982C25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Hapësira dixhitale 3D në të cilën ndodh ndërveprimi - dhoma, mjete ose makina të modeluara për trajnim.</w:t>
      </w:r>
    </w:p>
    <w:p w14:paraId="51A6D1A6" w14:textId="0C7B032B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0E2578B" w14:textId="1E7034D0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10. Video 360 gradë</w:t>
      </w:r>
    </w:p>
    <w:p w14:paraId="365B509F" w14:textId="45DABA6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Pamje të regjistruara në çdo drejtim me kamera të specializuara. Nxënësit shikojnë përreth lirshëm, por nuk mund të lëvizin. Ideale për vizita në vendin e punës.</w:t>
      </w:r>
    </w:p>
    <w:p w14:paraId="6830A7A5" w14:textId="7BD20318" w:rsidR="008261B3" w:rsidRPr="004942C9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4942C9">
        <w:rPr>
          <w:rFonts w:eastAsia="Times New Roman"/>
          <w:b/>
          <w:bCs/>
          <w:sz w:val="22"/>
          <w:szCs w:val="22"/>
          <w:lang w:val="it-IT" w:eastAsia="tr-TR"/>
        </w:rPr>
        <w:t>PJESA II – KOMPONENTËT DHE TEKNOLOGJITË KRYESORE</w:t>
      </w:r>
    </w:p>
    <w:p w14:paraId="2D9C5483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11. Ekran i montuar në kokë (HMD)</w:t>
      </w:r>
    </w:p>
    <w:p w14:paraId="6162EAD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ekran i veshshëm që shfaq imazhe paksa të ndryshme për secilin sy, duke krijuar perceptim të thellësisë.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Shembuj: Meta Quest, HTC Vive , Pico Neo.</w:t>
      </w:r>
    </w:p>
    <w:p w14:paraId="44B69CD1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AD77433" w14:textId="732DF255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12. Kontrolluesit</w:t>
      </w:r>
    </w:p>
    <w:p w14:paraId="2691904F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Pajisje të dorës ose të gjurmueshme të lëvizjes që mundësojnë ndërveprimin - kapjen, shtypjen ose drejtimin.</w:t>
      </w:r>
    </w:p>
    <w:p w14:paraId="309A5215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395A00FD" w14:textId="2CAAD42B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13. Sisteme Gjurmimi</w:t>
      </w:r>
    </w:p>
    <w:p w14:paraId="4CE4BF0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Hardware + software që lokalizon pozicionin/orientimin e përdoruesit.</w:t>
      </w:r>
    </w:p>
    <w:p w14:paraId="7E815691" w14:textId="77777777" w:rsidR="008261B3" w:rsidRPr="004942C9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Brenda-jashtë: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Kamerat e integruara ndiejnë mjedisin përreth.</w:t>
      </w:r>
    </w:p>
    <w:p w14:paraId="42E2EF83" w14:textId="77777777" w:rsidR="008261B3" w:rsidRPr="004942C9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Nga jashtë-brenda: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Sensorët e jashtëm monitorojnë pozicionin e kufjeve.</w:t>
      </w:r>
    </w:p>
    <w:p w14:paraId="165188B3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70B51BB" w14:textId="2B4BCF04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14. Sensorë dhe Kamera</w:t>
      </w:r>
    </w:p>
    <w:p w14:paraId="284B1DF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Kap gjestet, lëvizjet e syve ose objektet në botën reale për integrim me skenat VR.</w:t>
      </w:r>
    </w:p>
    <w:p w14:paraId="060519F4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64C88A6E" w14:textId="50F5F000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15. Reagime Haptike</w:t>
      </w:r>
    </w:p>
    <w:p w14:paraId="7C737CA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Reagime të bazuara në prekje - dridhje, presion, temperaturë - që ofrojnë realizëm prekës.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Në VET: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Përdoret për ndjesinë e makinës ose praktikën kirurgjikale.</w:t>
      </w:r>
    </w:p>
    <w:p w14:paraId="6F98F02C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75829CBC" w14:textId="0CC152FA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16. Audio Hapësinore</w:t>
      </w:r>
    </w:p>
    <w:p w14:paraId="2EC3D8CD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Tingull 3D që ndryshon me lëvizjen e kokës, duke përmirësuar ndërgjegjësimin hapësinor në hapësirat virtuale.</w:t>
      </w:r>
    </w:p>
    <w:p w14:paraId="70DBB8A2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A60F7BB" w14:textId="5942C065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17. Fusha e Pamjes (FOV)</w:t>
      </w:r>
    </w:p>
    <w:p w14:paraId="650C90CE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Shtrirja këndore e hapësirës virtuale të dukshme.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FOV e gjerë ≈ realizëm më i madh.</w:t>
      </w:r>
    </w:p>
    <w:p w14:paraId="17B6797E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E1C20CE" w14:textId="384705CE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18. Shpejtësia e kuadrove</w:t>
      </w:r>
    </w:p>
    <w:p w14:paraId="08233CE1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Numri i kuadrove për sekondë (Hz). Shpejtësitë më të larta (≥ 90 Hz) zvogëlojnë të përzierat nga lëvizja.</w:t>
      </w:r>
    </w:p>
    <w:p w14:paraId="45750653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4AE34680" w14:textId="4E5F9F74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19. Renderimi</w:t>
      </w:r>
    </w:p>
    <w:p w14:paraId="0C14704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Procesi i konvertimit të modeleve 3D në imazhe. Renderimi në kohë reale mundëson lëvizje të qetë në VR.</w:t>
      </w:r>
    </w:p>
    <w:p w14:paraId="1A29983C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723E3C2" w14:textId="3580682F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20. Motorë Lojërash</w:t>
      </w:r>
    </w:p>
    <w:p w14:paraId="06E5310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Bazat e softuerit për ndërtimin e aplikacioneve VR/AR (Unity, Unreal Engine). Menaxhoni fizikën, ndriçimin, të dhënat e përdoruesit.</w:t>
      </w:r>
    </w:p>
    <w:p w14:paraId="55E1E8C7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19722E1" w14:textId="48C20260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21. Modelimi 3D</w:t>
      </w:r>
    </w:p>
    <w:p w14:paraId="3E21C7D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Krijimi i përfaqësimeve dixhitale të mjeteve ose makinave nëpërmjet Blender, SolidWorks, SimLab Composer.</w:t>
      </w:r>
    </w:p>
    <w:p w14:paraId="1DC46DE6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30FC3C21" w14:textId="56ABF435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22. Teksturimi dhe Ndriçimi</w:t>
      </w:r>
    </w:p>
    <w:p w14:paraId="579B7A3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Caktimi i materialeve sipërfaqësore, reflektimeve dhe hijeve për të rritur realizmin.</w:t>
      </w:r>
    </w:p>
    <w:p w14:paraId="3195E078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2AD04C6" w14:textId="13B8BF76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23. Animacion</w:t>
      </w:r>
    </w:p>
    <w:p w14:paraId="429CE384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Zbatimi i lëvizjes në modele - p.sh., ingranazhe që rrotullohen ose rrjedha e lëngjeve - në mënyrë që nxënësit të shohin procese dinamike.</w:t>
      </w:r>
    </w:p>
    <w:p w14:paraId="3B583363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7D112A7" w14:textId="5DD123D3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24. Motori i Simulimit</w:t>
      </w:r>
    </w:p>
    <w:p w14:paraId="4AC5570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Llogarit sjelljet fizike (forcat, përplasjet) që i bëjnë skenarët e stërvitjes të besueshëm.</w:t>
      </w:r>
    </w:p>
    <w:p w14:paraId="54715F1E" w14:textId="77777777" w:rsidR="001E497E" w:rsidRPr="004942C9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FA87087" w14:textId="41B83FB8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25. Renderimi në re</w:t>
      </w:r>
    </w:p>
    <w:p w14:paraId="4BF19B5F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Serverët në distancë trajtojnë grafikë të rëndë, duke transmetuar skena VR në pajisje lokale më pak të fuqishme.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Përfitimi: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 arritshëm për shkollat me buxhete të kufizuara për harduerin.</w:t>
      </w:r>
    </w:p>
    <w:p w14:paraId="43773467" w14:textId="42CD98B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F222EFB" w14:textId="78078EEF" w:rsidR="008261B3" w:rsidRPr="004942C9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4942C9">
        <w:rPr>
          <w:rFonts w:eastAsia="Times New Roman"/>
          <w:b/>
          <w:bCs/>
          <w:sz w:val="22"/>
          <w:szCs w:val="22"/>
          <w:lang w:val="it-IT" w:eastAsia="tr-TR"/>
        </w:rPr>
        <w:t>PJESA III – MËSIMI GJITHËPËRFSHIRËS DHE ZBATIMET ARSIMORE</w:t>
      </w:r>
    </w:p>
    <w:p w14:paraId="6D712BAC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26. Mësim gjithëpërfshirës</w:t>
      </w:r>
    </w:p>
    <w:p w14:paraId="29A5532E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metodë edukative që i vendos nxënësit brenda situatave realiste në mënyrë që ata të mësojnë nga përvoja, jo nga mësimi përmendësh.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Shembull: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Nxënësit hyjnë në një kantier ndërtimi virtual për të identifikuar rreziqet e sigurisë.</w:t>
      </w:r>
    </w:p>
    <w:p w14:paraId="4674E28E" w14:textId="5503563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242912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27. Mësim përmes përvojës</w:t>
      </w:r>
    </w:p>
    <w:p w14:paraId="3F4855F4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Të mësuarit përmes përvojës së drejtpërdrejtë, reflektimit dhe korrigjimit.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Përfitimi i VR: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Mundëson përsëritje të sigurt deri në zotërim - ideale për saldim, punë elektrike ose kimike.</w:t>
      </w:r>
    </w:p>
    <w:p w14:paraId="5516573E" w14:textId="7C106641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51DCB0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28. Mësimi i Bazuar në Skenarë</w:t>
      </w:r>
    </w:p>
    <w:p w14:paraId="73039048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metodë mësimdhënieje që përdor detyra të strukturuara dhe realiste.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Nxënësit lundrojnë në një skenar virtual, marrin vendime dhe vëzhgojnë pasojat.</w:t>
      </w:r>
    </w:p>
    <w:p w14:paraId="6AC2FCD6" w14:textId="1C2FD4B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56A801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29. Mësimi i Bazuar në Probleme (PBL)</w:t>
      </w:r>
    </w:p>
    <w:p w14:paraId="71C2120E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Studentët përballen me një problem të hapur brenda një simulimi dhe bashkëpunojnë për ta zgjidhur atë.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Inkurajon punën në grup, analizën dhe kreativitetin.</w:t>
      </w:r>
    </w:p>
    <w:p w14:paraId="3D3B9966" w14:textId="7200F35B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78B0B4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30. Laboratori Virtual</w:t>
      </w:r>
    </w:p>
    <w:p w14:paraId="5B1FAA4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laborator i gjeneruar nga kompjuteri që replikon eksperimente dhe mjete.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Përdorimi i VET: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Përzierja kimike, matjet elektrike, diagnostikimi i automobilave.</w:t>
      </w:r>
    </w:p>
    <w:p w14:paraId="68D44B2B" w14:textId="2984D9B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354A79C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31. Trajnim i Bazuar në Simulim</w:t>
      </w:r>
    </w:p>
    <w:p w14:paraId="51AED03B" w14:textId="0B4A0BCB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Praktikimi i operacioneve teknike në një model dixhital të vendit të punës.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 xml:space="preserve">Lejon matjen e saktësisë, kohës dhe </w:t>
      </w:r>
      <w:r w:rsidR="001E497E"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sjelljes së sigurisë.</w:t>
      </w:r>
    </w:p>
    <w:p w14:paraId="3A7748FE" w14:textId="68A09AB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37FEC9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32. Transferimi i aftësive</w:t>
      </w:r>
    </w:p>
    <w:p w14:paraId="3836159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Procesi me anë të të cilit kompetencat e fituara në VR përkthehen në performancë në botën reale.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Simulimet me besueshmëri të lartë arrijnë një transferim më të mirë.</w:t>
      </w:r>
    </w:p>
    <w:p w14:paraId="0DE676DB" w14:textId="745D486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D6A69DA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33. Trajnim për Sigurinë</w:t>
      </w:r>
    </w:p>
    <w:p w14:paraId="566BB62C" w14:textId="1B0314B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Rikrijon kushte të rrezikshme (zjarr, lartësi, rrjedhje kimike) në mënyrë të sigurt në VR. Nxënësit përjetojnë hapat e reagimit ndaj emergjencave në mënyrë interaktive.</w:t>
      </w:r>
    </w:p>
    <w:p w14:paraId="7D3897FD" w14:textId="39AEBDE1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F2BB539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34. Modulet e Mirëmbajtjes dhe Riparimit</w:t>
      </w:r>
    </w:p>
    <w:p w14:paraId="4AD456B3" w14:textId="03EFDDED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Udhëzues dixhitalë hap pas hapi që tregojnë se si të mirëmbahen makineritë. I dobishëm në programet mekanike, elektrike dhe mekatronike.</w:t>
      </w:r>
    </w:p>
    <w:p w14:paraId="4F0EE8C5" w14:textId="7FB7385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049BF2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35. Trajnim Mjekësor dhe Shëndetësor</w:t>
      </w:r>
    </w:p>
    <w:p w14:paraId="6DDF463D" w14:textId="3265AF10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Përdoret për studimin e anatomisë, procedurat kirurgjikale dhe komunikimin me pacientët. Mbulesat AR mund të shfaqin organet e brendshme në manekinët e vërtetë.</w:t>
      </w:r>
    </w:p>
    <w:p w14:paraId="29967C43" w14:textId="32F8D55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29D19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36. Turizmi dhe Trashëgimia Kulturore</w:t>
      </w:r>
    </w:p>
    <w:p w14:paraId="185B1B2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Studentët eksplorojnë muze, hotele ose vende arkeologjike virtuale.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Shembull: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Një tur 3D i kishave shpellore të Kapadokisë ose një simulim elektronik i hotelit.</w:t>
      </w:r>
    </w:p>
    <w:p w14:paraId="7A2D5399" w14:textId="0F1C665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7ED09C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37. Trajnim për Automobila dhe Aviacion</w:t>
      </w:r>
    </w:p>
    <w:p w14:paraId="1B9CA7B4" w14:textId="63C35400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Simulatorët riprodhojnë mekanikën e drejtimit ose të fluturimit në mënyrë realiste. Zvogëlojnë kostot dhe rreziqet e karburantit, ndërkohë që zhvillojnë kompetencën operacionale.</w:t>
      </w:r>
    </w:p>
    <w:p w14:paraId="63DA75C3" w14:textId="4F8F9A6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EE49DB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38. Arsimi në Ndërtim dhe Arkitekturë</w:t>
      </w:r>
    </w:p>
    <w:p w14:paraId="33837A8E" w14:textId="113563DB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Mbivendosjet AR ndihmojnë në vizualizimin e planeve strukturore në vendet e ndërtimit. VR lejon përshkrime të plota të planeve dixhitale.</w:t>
      </w:r>
    </w:p>
    <w:p w14:paraId="560163D7" w14:textId="53237075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E60092C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39. Trajnim për Energjinë e Rinovueshme</w:t>
      </w:r>
    </w:p>
    <w:p w14:paraId="154C9D3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Instalimet virtuale të turbinave me erë ose të paneleve diellore mësojnë mirëmbajtjen pa prototipa të kushtueshëm.</w:t>
      </w:r>
    </w:p>
    <w:p w14:paraId="37377A8E" w14:textId="119E08D5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66568E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40. Laboratorët e Prodhimit dhe Industrisë 4.0</w:t>
      </w:r>
    </w:p>
    <w:p w14:paraId="5B778060" w14:textId="08FD986D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Fabrikat virtuale simulojnë linjat e montimit, robotikën dhe sensorët. Ndihmon nxënësit të kuptojnë automatizimin dhe rrjedhën e të dhënave.</w:t>
      </w:r>
    </w:p>
    <w:p w14:paraId="1284BDC4" w14:textId="722F9FA0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970C85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41. Bashkëpunim në distancë</w:t>
      </w:r>
    </w:p>
    <w:p w14:paraId="46C29E07" w14:textId="653D135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Përdorues të shumtë lidhen me të njëjtën hapësirë virtuale nga vende të ndryshme. Përdoret në projekte Erasmus+ ose laboratorë ndërshkollorë.</w:t>
      </w:r>
    </w:p>
    <w:p w14:paraId="33354604" w14:textId="03CD332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DCBC84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42. Klasë Virtuale dhe Hapësira Takimesh</w:t>
      </w:r>
    </w:p>
    <w:p w14:paraId="2DCEB71D" w14:textId="000EF4E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Mësuesit dhe nxënësit bashkëveprojnë nëpërmjet avatarëve. Inkurajon angazhimin gjatë arsimit online ose hibrid.</w:t>
      </w:r>
    </w:p>
    <w:p w14:paraId="6E53A847" w14:textId="58D586A6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A6B965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43. Gamifikimi</w:t>
      </w:r>
    </w:p>
    <w:p w14:paraId="2C736CD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Zbatimi i elementëve të lojës — pikë, medalje dalluese, tabela renditjeje — për të rritur motivimin dhe këmbënguljen.</w:t>
      </w:r>
    </w:p>
    <w:p w14:paraId="6323106D" w14:textId="129B748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33A18C3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44. Mikro-Mësim</w:t>
      </w:r>
    </w:p>
    <w:p w14:paraId="76D4D1A5" w14:textId="355125E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Module të shkurtra dhe të fokusuara në VR (5-10 minuta) që synojnë një aftësi të vetme. Efektive për seanca rifreskimi dhe mësim në celular.</w:t>
      </w:r>
    </w:p>
    <w:p w14:paraId="5D7B9ADB" w14:textId="70D17D69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9F09D6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45. Mësim Adaptiv në VR</w:t>
      </w:r>
    </w:p>
    <w:p w14:paraId="4ED323BA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Sistemi analizon performancën e nxënësit dhe rregullon automatikisht vështirësinë duke përdorur algoritme të inteligjencës artificiale.</w:t>
      </w:r>
    </w:p>
    <w:p w14:paraId="150E6FF6" w14:textId="02BBCC7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5E9FE97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46. Reagime dhe Vlerësim</w:t>
      </w:r>
    </w:p>
    <w:p w14:paraId="5CD8D8F8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Sistemet VR japin reagime të menjëhershme të performancës — tregues ngjyrash , rezultate ose panele kontrolli të mbikëqyrësit.</w:t>
      </w:r>
    </w:p>
    <w:p w14:paraId="06089470" w14:textId="05270CB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2334736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47. Analitika e të Mësuarit</w:t>
      </w:r>
    </w:p>
    <w:p w14:paraId="543F90C6" w14:textId="25EAAE5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Mbledh të dhëna të tilla si koha e përfundimit, numri i gabimeve dhe drejtimi i shikimit. Ndihmon mësuesit të personalizojnë mësimdhënien.</w:t>
      </w:r>
    </w:p>
    <w:p w14:paraId="25A1D193" w14:textId="372E33DD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BF1BF7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48. Arsim i Bazuar në Kompetenca</w:t>
      </w:r>
    </w:p>
    <w:p w14:paraId="144BABAD" w14:textId="0D8FDD8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Trajnimi gjithëpërfshirës përputhet me aftësitë e përcaktuara dhe rezultatet e të nxënit në vend që të jetë vetëm teori. Mbështet njohjen përmes mikrokredencialeve.</w:t>
      </w:r>
    </w:p>
    <w:p w14:paraId="3605C518" w14:textId="0288885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666FAD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49. Praktikë Virtuale</w:t>
      </w:r>
    </w:p>
    <w:p w14:paraId="07B2E5A0" w14:textId="43A3EA8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Nxënësit përjetojnë rutina specifike për punën virtualisht përpara praktikave fizike. I përgatit ata për pritjet e kompanisë.</w:t>
      </w:r>
    </w:p>
    <w:p w14:paraId="751FEFD5" w14:textId="0268478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540ADD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50. Modele të Mësimit të Përzier</w:t>
      </w:r>
    </w:p>
    <w:p w14:paraId="5785A8FA" w14:textId="2399E4A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Kombinon mësimdhënien në klasë, teorinë online dhe praktikën VR/AR. Ofron fleksibilitet dhe larmi duke ruajtur thellësinë e të nxënit.</w:t>
      </w:r>
    </w:p>
    <w:p w14:paraId="3DB05750" w14:textId="3C926D5D" w:rsidR="008261B3" w:rsidRPr="004942C9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4942C9">
        <w:rPr>
          <w:rFonts w:eastAsia="Times New Roman"/>
          <w:b/>
          <w:bCs/>
          <w:sz w:val="22"/>
          <w:szCs w:val="22"/>
          <w:lang w:val="it-IT" w:eastAsia="tr-TR"/>
        </w:rPr>
        <w:t>PJESA IV – INDUSTRIA 4.0 DHE TRANSFORMIMI DIXHITALE</w:t>
      </w:r>
    </w:p>
    <w:p w14:paraId="31125F6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51. Industria 4.0</w:t>
      </w:r>
    </w:p>
    <w:p w14:paraId="28E27C89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 referohet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revolucionit të katërt industrial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i karakterizuar nga fabrikat inteligjente, automatizimi, IoT dhe binjakët dixhitalë.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Roli i VR/AR: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Përdoret për të vizualizuar rrjedhat e punës, për të trajnuar operatorët dhe për të simuluar linjat e montimit.</w:t>
      </w:r>
    </w:p>
    <w:p w14:paraId="13D05B41" w14:textId="587A586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498B07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52. Fabrika e Mençur</w:t>
      </w:r>
    </w:p>
    <w:p w14:paraId="0F67712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mjedis prodhimi i automatizuar ku makinat dhe sistemet komunikojnë përmes sensorëve dhe të dhënave.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Simulimet VR u mësojnë studentëve të monitorojnë dhe optimizojnë sisteme të tilla.</w:t>
      </w:r>
    </w:p>
    <w:p w14:paraId="0E6C7DF9" w14:textId="689F776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2971A7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53. Sistemi Kiber-Fizik (SFI)</w:t>
      </w:r>
    </w:p>
    <w:p w14:paraId="17F9F65A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kombinim i komponentëve fizikë (makineri, robotë) dhe elementëve dixhitalë (softuer, inteligjencë artificiale).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Shembull: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Një robot i kontrolluar përmes një paneli VR me reagime në kohë reale.</w:t>
      </w:r>
    </w:p>
    <w:p w14:paraId="6B6C96B6" w14:textId="48B3DB5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FDEB0EA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54. Binjak Dixhital</w:t>
      </w:r>
    </w:p>
    <w:p w14:paraId="5D35D0F4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kopje dixhitale e drejtpërdrejtë e një objekti ose procesi real, e përditësuar vazhdimisht me të dhëna sensorësh.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Përdorimi në AFP: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 lejon nxënësve të vëzhgojnë, parashikojnë dhe kontrollojnë performancën e makinës në mënyrë virtuale.</w:t>
      </w:r>
    </w:p>
    <w:p w14:paraId="749E1992" w14:textId="36F38D26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047FCA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55. Interneti i Gjërave (IoT)</w:t>
      </w:r>
    </w:p>
    <w:p w14:paraId="14B5AF2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Rrjet pajisjesh të lidhura që shkëmbejnë të dhëna nëpërmjet internetit.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Shembull: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Sensorë në pajisje industriale që dërgojnë informacion në një aplikacion mirëmbajtjeje AR.</w:t>
      </w:r>
    </w:p>
    <w:p w14:paraId="190D1C19" w14:textId="387AC92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6FBB603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56. Inteligjenca Artificiale (IA) në XR</w:t>
      </w:r>
    </w:p>
    <w:p w14:paraId="21825D25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IA rrit realizmin, automatizon pikëzimin dhe drejton personazhe virtualë inteligjentë që reagojnë ndaj veprimeve të përdoruesve.</w:t>
      </w:r>
    </w:p>
    <w:p w14:paraId="213C15EE" w14:textId="598337DA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9221BD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57. Mësimi Automatik (ML)</w:t>
      </w:r>
    </w:p>
    <w:p w14:paraId="4C939CF0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Një nëngrup i inteligjencës artificiale që mundëson përmirësimin automatik të sistemeve përmes përvojës.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Përdorimi: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Sisteme vlerësimi VR që "mësojnë" se si duket performanca e ekspertëve.</w:t>
      </w:r>
    </w:p>
    <w:p w14:paraId="55F8911B" w14:textId="1A0294D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E3A48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58. Robotikë dhe Automatizim</w:t>
      </w:r>
    </w:p>
    <w:p w14:paraId="272CBD1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AR/VR mësojnë programimin e robotëve, planifikimin e lëvizjes dhe procedurat e sigurisë pa robotë fizikë.</w:t>
      </w:r>
    </w:p>
    <w:p w14:paraId="7A5E1B13" w14:textId="7015C6F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741A94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59. Prodhim Aditiv (Shtypje 3D)</w:t>
      </w:r>
    </w:p>
    <w:p w14:paraId="7D08E37C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Ndërtimi i komponentëve shtresë pas shtrese.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Vizualizimet AR tregojnë strukturat e brendshme; mjediset VR trajnojnë konfigurimin dhe kalibrimin e printerit.</w:t>
      </w:r>
    </w:p>
    <w:p w14:paraId="590BF731" w14:textId="0E7FB68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17096A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60. Softuer Simulimi</w:t>
      </w:r>
    </w:p>
    <w:p w14:paraId="7DD0EF9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Aplikacione si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AnyLogic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Simulink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ose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SimLab Composer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përdoren për të modeluar sistemet e botës reale.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Nxënësit eksperimentojnë në mënyrë dixhitale përpara se të përdorin makina të vërteta.</w:t>
      </w:r>
    </w:p>
    <w:p w14:paraId="538443A7" w14:textId="548ADC3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42448B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61. Cloud Computing</w:t>
      </w:r>
    </w:p>
    <w:p w14:paraId="4F076A2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Ofrimi i burimeve kompjuterike (servera, ruajtje, renderim VR) nëpërmjet internetit.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U mundëson qendrave të AFP-së të presin skedarë të mëdhenj 3D dhe të drejtojnë seanca VR nga distanca.</w:t>
      </w:r>
    </w:p>
    <w:p w14:paraId="6A803ECB" w14:textId="6E2F357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F5EFC6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62. Vizualizimi i të dhënave në XR</w:t>
      </w:r>
    </w:p>
    <w:p w14:paraId="79FC6CB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Përfaqësimi i informacionit kompleks (temperaturat, presionet, daljet) përmes grafikëve 3D në hapësirën virtuale.</w:t>
      </w:r>
    </w:p>
    <w:p w14:paraId="63E2ECD6" w14:textId="24242B3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3A4B77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63. Kornizat e Aftësive Dixhitale</w:t>
      </w:r>
    </w:p>
    <w:p w14:paraId="311F356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DigComp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dhe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ESCO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të BE-së përshkruajnë kompetencat në teknologjitë dixhitale dhe janë mjete referimi për programet e trajnimit XR.</w:t>
      </w:r>
    </w:p>
    <w:p w14:paraId="154FD2B0" w14:textId="1A9AD45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52547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64. Korniza Evropiane e Kualifikimeve (EQF)</w:t>
      </w:r>
    </w:p>
    <w:p w14:paraId="1B806C9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Përcakton tetë nivele të të nxënit bazuar në njohuri, aftësi dhe përgjegjësi.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Niveli 4 (grupi i synuar) korrespondon me programet teknike dhe profesionale.</w:t>
      </w:r>
    </w:p>
    <w:p w14:paraId="28D1EE1D" w14:textId="40D0F50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A8968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65. Hartimi i Kompetencave</w:t>
      </w:r>
    </w:p>
    <w:p w14:paraId="16A41B54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Lidhja e rezultateve specifike të trajnimit VR me profilet profesionale duke përdorur përshkruesit EQF ose ESCO.</w:t>
      </w:r>
    </w:p>
    <w:p w14:paraId="30B92E46" w14:textId="2B541AA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B30F537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66. Mirëmbajtje e shtuar</w:t>
      </w:r>
    </w:p>
    <w:p w14:paraId="303C2B41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 i udhëzon punëtorët gjatë mirëmbajtjes me mbivendosje dixhitale hap pas hapi, duke zvogëluar kohën e ndërprerjes.</w:t>
      </w:r>
    </w:p>
    <w:p w14:paraId="0F542226" w14:textId="54904D9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9AED4D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67. Mbështetje në distancë nëpërmjet AR</w:t>
      </w:r>
    </w:p>
    <w:p w14:paraId="3328D995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Ekspertët mund të shohin atë që sheh tekniku dhe të shënojnë pamjen e drejtpërdrejtë, duke ofruar udhëzime nga distanca.</w:t>
      </w:r>
    </w:p>
    <w:p w14:paraId="413004EB" w14:textId="3EFD858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A397267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68. Fije Dixhitale</w:t>
      </w:r>
    </w:p>
    <w:p w14:paraId="38E6BAC0" w14:textId="32873D7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Gjurmimi i plotë i të dhënave nga dizajni i produktit deri te funksionimi. Vizualizimet VR i ndihmojnë studentët të ndjekin këtë cikël jetësor.</w:t>
      </w:r>
    </w:p>
    <w:p w14:paraId="06972FB8" w14:textId="1EF8668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10E62C2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69. Sensorë të Mençur</w:t>
      </w:r>
    </w:p>
    <w:p w14:paraId="4FEFA02A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Pajisje që matin variablat fizike dhe dërgojnë të dhëna në mjedise XR.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Shembull: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Një sensor dërgon të dhëna për çift rrotullues të shfaqura në një matës virtual.</w:t>
      </w:r>
    </w:p>
    <w:p w14:paraId="36E0567B" w14:textId="3A833F9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76283C0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70. Edge Computing</w:t>
      </w:r>
    </w:p>
    <w:p w14:paraId="7965392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Përpunimi i të dhënave pranë burimit të tyre në vend të një reje kompjuterike.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Përdorimi: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Zvogëlon vonesën në aplikacionet e prodhimit AR.</w:t>
      </w:r>
    </w:p>
    <w:p w14:paraId="3B4DCC21" w14:textId="582C1E55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9CF4B7" w14:textId="7304FC86" w:rsidR="008261B3" w:rsidRPr="004942C9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4942C9">
        <w:rPr>
          <w:rFonts w:eastAsia="Times New Roman"/>
          <w:b/>
          <w:bCs/>
          <w:sz w:val="22"/>
          <w:szCs w:val="22"/>
          <w:lang w:val="it-IT" w:eastAsia="tr-TR"/>
        </w:rPr>
        <w:t>PJESA V – PROJEKTIMI, ZHVILLIMI DHE METODOLOGJIA MËSIMORE</w:t>
      </w:r>
    </w:p>
    <w:p w14:paraId="4A64EB71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71. Dizajn Mësimor</w:t>
      </w:r>
    </w:p>
    <w:p w14:paraId="1CA93B8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Proces i strukturuar i krijimit të përvojave efektive të të nxënit.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Në XR, kjo do të thotë hartimi i detyrave interaktive që arrijnë rezultate të qarta të të nxënit.</w:t>
      </w:r>
    </w:p>
    <w:p w14:paraId="235D459E" w14:textId="2158996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C44923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72. Modeli ADDIE</w:t>
      </w:r>
    </w:p>
    <w:p w14:paraId="7DAB382D" w14:textId="323DB15D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Kornizë me pesë hapa: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Analizoni – Projektoni – Zhvilloni – Zbatoni – Vlerësoni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. Çdo fazë siguron zhvillimin sistematik të mësimeve VR/AR.</w:t>
      </w:r>
    </w:p>
    <w:p w14:paraId="2C970684" w14:textId="5F015CC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8E1CCA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73. Modeli SAM (Përafrim i njëpasnjëshëm)</w:t>
      </w:r>
    </w:p>
    <w:p w14:paraId="4974B5D9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Një qasje fleksibile që thekson prototipet e shpejta dhe reagimet e përdoruesve në vend të fazave të gjata të planifikimit.</w:t>
      </w:r>
    </w:p>
    <w:p w14:paraId="1D7132DB" w14:textId="52513B1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AB8BA0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74. Storyboarding</w:t>
      </w:r>
    </w:p>
    <w:p w14:paraId="3BC64AEE" w14:textId="79FE135D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Plani vizual që përshkruan skenat, ndërveprimet dhe dialogun para prodhimit të realitetit virtual. Parandalon gabimet në dizajn dhe siguron rrjedhën pedagogjike.</w:t>
      </w:r>
    </w:p>
    <w:p w14:paraId="41356DDE" w14:textId="115605A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9C4BC9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75. Menaxhimi i Ngarkesës Njohëse</w:t>
      </w:r>
    </w:p>
    <w:p w14:paraId="4B837F4A" w14:textId="7C9D7DCB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Sigurohuni që nxënësit të mos mbingarkohen nga shumë informacione. Në XR, përdorni udhëzime të qarta, kodim me ngjyra dhe module të shkurtra.</w:t>
      </w:r>
    </w:p>
    <w:p w14:paraId="0EB70796" w14:textId="2C22C48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EAAC6D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76. Dizajni i Ndërfaqes së Përdoruesit (UI)</w:t>
      </w:r>
    </w:p>
    <w:p w14:paraId="189A9BD8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Krijimi i menuve, ikonave dhe elementëve të navigimit intuitivë të dukshëm në hapësirën 3D.</w:t>
      </w:r>
    </w:p>
    <w:p w14:paraId="7E59655D" w14:textId="4CD992F5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6928DF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77. Dizajni i Përvojës së Përdoruesit (UX)</w:t>
      </w:r>
    </w:p>
    <w:p w14:paraId="7F5CBC81" w14:textId="49877A1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Përqendrohet në rehati, qartësi dhe angazhim. </w:t>
      </w:r>
      <w:r w:rsidR="001E497E"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Tranzicionet e lëmuara dhe ndërveprimet natyrore rrisin mbajtjen mend të të dhënave.</w:t>
      </w:r>
    </w:p>
    <w:p w14:paraId="23B88C2A" w14:textId="51E791C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9E5DEE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78. Aksesueshmëria</w:t>
      </w:r>
    </w:p>
    <w:p w14:paraId="02A628B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Përshtatja e përmbajtjes gjithëpërfshirëse për personat me aftësi të kufizuara përmes titrave, mbishkrimeve dhe komandave zanore.</w:t>
      </w:r>
    </w:p>
    <w:p w14:paraId="3B754083" w14:textId="3BD051CA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C38AC60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79. Përfshirja</w:t>
      </w:r>
    </w:p>
    <w:p w14:paraId="45398DA1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Dizajnimi i përmbajtjes që përfaqëson përdorues të ndryshëm, duke siguruar që të gjithë të ndihen të përfaqësuar dhe të mirëpritur.</w:t>
      </w:r>
    </w:p>
    <w:p w14:paraId="4BFB4084" w14:textId="41DE8BB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0E6D86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80. Lokalizimi</w:t>
      </w:r>
    </w:p>
    <w:p w14:paraId="3309AA9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Përkthimi i ndërfaqeve, udhëzimeve dhe audios në gjuhët lokale për të mbështetur klasat shumëkulturore.</w:t>
      </w:r>
    </w:p>
    <w:p w14:paraId="14E1FFEF" w14:textId="11A2194A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D241EB9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81. Testimi dhe Debugging</w:t>
      </w:r>
    </w:p>
    <w:p w14:paraId="2DBB6574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Zbulimi i problemeve teknike ose të përdorshmërisë përpara vendosjes në klasë.</w:t>
      </w:r>
    </w:p>
    <w:p w14:paraId="092FE4D1" w14:textId="12B0D565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69D8F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82. Zbatimi i Programit Pilot</w:t>
      </w:r>
    </w:p>
    <w:p w14:paraId="30B4D6DE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Test në shkallë të vogël i një moduli VR me një grup të kufizuar për të mbledhur reagime për përmirësim.</w:t>
      </w:r>
    </w:p>
    <w:p w14:paraId="24A3CE67" w14:textId="24F74F4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32116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83. Vlerësim Formues</w:t>
      </w:r>
    </w:p>
    <w:p w14:paraId="0AD23094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Vlerësimi i vazhdueshëm gjatë zhvillimit; siguron që objektivat e të nxënit të mbeten në përputhje me rezultatet.</w:t>
      </w:r>
    </w:p>
    <w:p w14:paraId="3C9E4BEC" w14:textId="3EA9D4A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FD37261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84. Vlerësim Përmbledhës</w:t>
      </w:r>
    </w:p>
    <w:p w14:paraId="0DD7BE5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Vlerësimi përfundimtar pas përfundimit; mat efektivitetin dhe ndikimin e të mësuarit gjithëpërfshirës.</w:t>
      </w:r>
    </w:p>
    <w:p w14:paraId="28AD036B" w14:textId="144FCD6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068D91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85. Cikli i reagimeve</w:t>
      </w:r>
    </w:p>
    <w:p w14:paraId="215E250C" w14:textId="0E757A2D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Cikli i vëzhgimit të performancës së përdoruesit, analizimit të të dhënave dhe përmirësimit të përmbajtjes. Integral i përmirësimit të vazhdueshëm të cilësisë.</w:t>
      </w:r>
    </w:p>
    <w:p w14:paraId="33C00C56" w14:textId="1D97C3B1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9A603F3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86. Matja e Rezultateve të të Nxënit</w:t>
      </w:r>
    </w:p>
    <w:p w14:paraId="20F270C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Metodat sasiore dhe cilësore (pikët, vëzhgimet, analizat) të përdorura për të përcaktuar përvetësimin e aftësive.</w:t>
      </w:r>
    </w:p>
    <w:p w14:paraId="0FDD1A33" w14:textId="4BDCC95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42C7D5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87. Integrimi me Sistemet e Menaxhimit të Mësimit (LMS)</w:t>
      </w:r>
    </w:p>
    <w:p w14:paraId="0CF8FDCA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Lidhja e moduleve XR me Moodle ose Canvas për të regjistruar pjesëmarrjen, rezultatet dhe certifikatat dixhitale.</w:t>
      </w:r>
    </w:p>
    <w:p w14:paraId="472CE5D4" w14:textId="7025FDC0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079DFB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88. Mikro-Kredencialet dhe Distinktivat</w:t>
      </w:r>
    </w:p>
    <w:p w14:paraId="7E893ACF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Certifikata të vogla dixhitale që përfaqësojnë aftësi specifike të fituara nga trajnimi XR.</w:t>
      </w:r>
    </w:p>
    <w:p w14:paraId="71A21FA4" w14:textId="7C84B07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A4CDF0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89. Trajnimi i Mësuesve në XR</w:t>
      </w:r>
    </w:p>
    <w:p w14:paraId="147D57A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Programe zhvillimi profesional që sigurojnë që edukatorët të mund të krijojnë, menaxhojnë dhe vlerësojnë mësime VR/AR.</w:t>
      </w:r>
    </w:p>
    <w:p w14:paraId="2798E8C1" w14:textId="097215C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25FF5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90. Bashkëpunimi me Partnerët e Industrisë</w:t>
      </w:r>
    </w:p>
    <w:p w14:paraId="3CC19488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Zhvillimi i përbashkët i moduleve XR që pasqyrojnë procedurat reale të vendit të punës, duke përmirësuar rëndësinë dhe punësueshmërinë.</w:t>
      </w:r>
    </w:p>
    <w:p w14:paraId="1B52B8FD" w14:textId="40E54F3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F8F8831" w14:textId="4A96BBA6" w:rsidR="008261B3" w:rsidRPr="004942C9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4942C9">
        <w:rPr>
          <w:rFonts w:eastAsia="Times New Roman"/>
          <w:b/>
          <w:bCs/>
          <w:sz w:val="22"/>
          <w:szCs w:val="22"/>
          <w:lang w:val="it-IT" w:eastAsia="tr-TR"/>
        </w:rPr>
        <w:t>PJESA VI – ETIKA, SIGURIA, QËNDRUESHMËRIA DHE NDIKIMI SOCIAL</w:t>
      </w:r>
    </w:p>
    <w:p w14:paraId="5068A82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91. Etika Dixhitale</w:t>
      </w:r>
    </w:p>
    <w:p w14:paraId="5A08A129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Parimet morale që udhëheqin përdorimin e përgjegjshëm të teknologjive XR.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 xml:space="preserve">Përfshijnë transparencën, pëlqimin e përdoruesit dhe parandalimin e keqpërdorimit të të dhënave personale.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Konteksti i AFP-së: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Mësuesit duhet të sigurohen që simulimet të mos shkelin privatësinë ose të mos përshkruajnë përmbajtje të dëmshme.</w:t>
      </w:r>
    </w:p>
    <w:p w14:paraId="181B816E" w14:textId="13A9B3DD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2412323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92. Privatësia dhe Mbrojtja e të Dhënave</w:t>
      </w:r>
    </w:p>
    <w:p w14:paraId="47EDEF2C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Kufjet dhe softuerët XR mund të mbledhin informacione të ndjeshme (lëvizja e syve, të dhënat biometrike, vendndodhja).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 xml:space="preserve">Duhet të jenë në përputhje me rregulloret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 BE-së për Përgjithësimin e të Dhënave (GDPR) 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Nxënësit duhet të informohen se cilat të dhëna mblidhen dhe pse.</w:t>
      </w:r>
    </w:p>
    <w:p w14:paraId="0DFD55C3" w14:textId="7065CF9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ACFC719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93. Siguria Psikologjike</w:t>
      </w:r>
    </w:p>
    <w:p w14:paraId="2015D8D5" w14:textId="27251760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 mund të jetë intensive; disa nxënës mund të përjetojnë stres ose shqetësim. Edukatorët duhet të monitorojnë reagimet dhe të hartojnë simulime të sigurta emocionalisht.</w:t>
      </w:r>
    </w:p>
    <w:p w14:paraId="012C398D" w14:textId="0CDAD24B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A8855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94. Rregulloret e Shëndetit dhe Sigurisë</w:t>
      </w:r>
    </w:p>
    <w:p w14:paraId="1410B134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Studentët duhet të përdorin pajisjet XR nën mbikëqyrje dhe me kufij të qartë fizikë.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Rekomandim: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Zonë e sigurt 2 × 2 metra për përdorues; pushime të rregullta pas 20–30 minutash.</w:t>
      </w:r>
    </w:p>
    <w:p w14:paraId="5F6ADF42" w14:textId="41C23E5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203D47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95. Ergonomia dhe Komforti</w:t>
      </w:r>
    </w:p>
    <w:p w14:paraId="07FB719E" w14:textId="40EA946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Përshtatja e duhur e kufjeve, rripat e rregullueshëm dhe balancimi i dritës zvogëlojnë lodhjen. Mësuesit duhet t'u mësojnë fëmijëve qëndrimin e saktë për përdorim të zgjatur.</w:t>
      </w:r>
    </w:p>
    <w:p w14:paraId="54426256" w14:textId="53DD96A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1C34FF7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96. Sëmundja e lëvizjes (Sëmundja kibernetike)</w:t>
      </w:r>
    </w:p>
    <w:p w14:paraId="0CDF7E97" w14:textId="1EFAAD4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Një efekt anësor i zakonshëm i shkaktuar nga mospërputhja vizuale-vestibulare. I reduktuar për shkak të shpejtësisë së lartë të kuadrove, horizontit të qëndrueshëm dhe seancave të shkurtra.</w:t>
      </w:r>
    </w:p>
    <w:p w14:paraId="750821BF" w14:textId="76EA17E0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0393B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97. Mirëqenia Dixhitale</w:t>
      </w:r>
    </w:p>
    <w:p w14:paraId="2847EDDD" w14:textId="12E7314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Mbajtja e marrëdhënieve të shëndetshme me teknologjinë. Inkurajon pushimet, kohën e ekuilibruar para ekranit dhe ndërveprimin njerëzor së bashku me studimin e realitetit virtual.</w:t>
      </w:r>
    </w:p>
    <w:p w14:paraId="6A7D0B34" w14:textId="0DA2F2F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A23B483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98. Aksesueshmëria dhe Përfshirja</w:t>
      </w:r>
    </w:p>
    <w:p w14:paraId="26D0F1A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Sigurimi që të gjithë nxënësit - përfshirë ata me aftësi të kufizuara - të mund ta përdorin XR përmes ndërfaqeve adaptive, narracionit ose kontrollit me zë.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Shembull: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Video sigurie me titra ose reagime me prekje për nxënësit me shikim të kufizuar.</w:t>
      </w:r>
    </w:p>
    <w:p w14:paraId="38D2D135" w14:textId="3F4F107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B0B3A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99. Barazia Gjinore në Arsimin XR</w:t>
      </w:r>
    </w:p>
    <w:p w14:paraId="37E9AA06" w14:textId="0289B61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Inkurajimi i pjesëmarrjes së barabartë të studentëve meshkuj dhe femra në aktivitetet teknike të XR. Përfaqësimi gjithëpërfshirës përmirëson inovacionin dhe ekuilibrin social.</w:t>
      </w:r>
    </w:p>
    <w:p w14:paraId="1A2C682C" w14:textId="5736B9C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4A5181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100. Dizajni i Skenarit Etik</w:t>
      </w:r>
    </w:p>
    <w:p w14:paraId="12E697BF" w14:textId="797F505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Simulimet duhet të shmangin përforcimin e stereotipeve ose traumave. Të gjitha skenarët duhet të promovojnë empatinë, respektin dhe drejtësinë në mjediset shumëkulturore të të nxënit.</w:t>
      </w:r>
    </w:p>
    <w:p w14:paraId="3358397A" w14:textId="0D79E112" w:rsidR="008261B3" w:rsidRPr="004942C9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4942C9">
        <w:rPr>
          <w:rFonts w:eastAsia="Times New Roman"/>
          <w:b/>
          <w:bCs/>
          <w:sz w:val="22"/>
          <w:szCs w:val="22"/>
          <w:lang w:val="it-IT" w:eastAsia="tr-TR"/>
        </w:rPr>
        <w:t>PJESA VII – QËNDRUESHMËRIA, MJEDISI DHE DIMENSIONI EKONOMIK</w:t>
      </w:r>
    </w:p>
    <w:p w14:paraId="5AA1D4E9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101. Mjedise të Qëndrueshme të Mësimit</w:t>
      </w:r>
    </w:p>
    <w:p w14:paraId="0D71D57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Përdorimi i XR zvogëlon shpërdorimin e burimeve: më pak materiale, më pak udhëtime dhe gjurmë më të vogla ekologjike.</w:t>
      </w:r>
    </w:p>
    <w:p w14:paraId="63165858" w14:textId="17BC2FD5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481151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102. Teknologjitë e Gjelbra dhe Tranzicioni Dixhital</w:t>
      </w:r>
    </w:p>
    <w:p w14:paraId="46CD391A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BE-ja promovon mjete dixhitale që mbështesin qëllimet e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Marrëveshjes së Gjelbër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dhe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Ekonomisë Rrethore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VR ndihmon në modelimin e projekteve me efikasitet energjetik para ndërtimit.</w:t>
      </w:r>
    </w:p>
    <w:p w14:paraId="4A146AD8" w14:textId="2983AC0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C53B67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103. Efektiviteti i kostos dhe kthimi i investimit</w:t>
      </w:r>
    </w:p>
    <w:p w14:paraId="028CA0F9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Edhe pse investimi në harduer është i lartë, kostot afatgjata ulen për shkak të simulimeve të ripërdorshme dhe uljes së aksidenteve.</w:t>
      </w:r>
    </w:p>
    <w:p w14:paraId="68080F7A" w14:textId="3B6ABA5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469CC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104. Ndarja e Burimeve</w:t>
      </w:r>
    </w:p>
    <w:p w14:paraId="67FA6160" w14:textId="790E2B55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Përmbajtja e hapur XR dhe modelet e zhvilluara nga komuniteti ulin dyfishimin dhe inkurajojnë bashkëpunimin midis shkollave.</w:t>
      </w:r>
    </w:p>
    <w:p w14:paraId="0B769837" w14:textId="087A9D5B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FBA1E84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105. Gatishmëria Institucionale</w:t>
      </w:r>
    </w:p>
    <w:p w14:paraId="02319210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Përpara se të miratojnë XR, shkollat duhet të vlerësojnë infrastrukturën, gatishmërinë e mësuesve dhe protokollet e sigurisë.</w:t>
      </w:r>
    </w:p>
    <w:p w14:paraId="42BD16B3" w14:textId="62F35D0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1CB54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106. Prokurimi dhe Licencimi</w:t>
      </w:r>
    </w:p>
    <w:p w14:paraId="47637D59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Institucionet duhet të zgjedhin versionet ligjore të softuerëve, të verifikojnë kohëzgjatjen e licencës dhe të menaxhojnë regjistrimin e pajisjeve në mënyrë etike.</w:t>
      </w:r>
    </w:p>
    <w:p w14:paraId="4ECC9247" w14:textId="2D4600B6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9148A8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107. Integrimi i Kurrikulës</w:t>
      </w:r>
    </w:p>
    <w:p w14:paraId="44143E7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 xml:space="preserve">Modulet gjithëpërfshirëse duhet të jenë në përputhje me rezultatet zyrtare të kursit dhe standardet profesionale.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Shembull: integrimi i një mësimi "Siguria e Makinerive VR" në njësinë e Shëndetit dhe Sigurisë në Punë.</w:t>
      </w:r>
    </w:p>
    <w:p w14:paraId="57ADC6CE" w14:textId="71960E0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0B0A9AC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108. Akreditimi dhe Njohja</w:t>
      </w:r>
    </w:p>
    <w:p w14:paraId="546A0758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Kurset që përdorin XR duhet të përmbushin ende kriteret kombëtare të akreditimit, duke siguruar vlefshmërinë e kualifikimeve.</w:t>
      </w:r>
    </w:p>
    <w:p w14:paraId="02A8AF56" w14:textId="24A5CA96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C5B2D1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109. Partneritetet dhe Ekosistemet</w:t>
      </w:r>
    </w:p>
    <w:p w14:paraId="70DDA3B2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Bashkëpunimi midis shkollave, universiteteve, ndërmarrjeve të vogla dhe të mesme dhe bashkive përshpejton miratimin.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Laboratorët rajonalë të XR mund t'u shërbejnë institucioneve të shumta të AFP-së.</w:t>
      </w:r>
    </w:p>
    <w:p w14:paraId="01DDDA6E" w14:textId="0759A97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7115DB1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110. Burime të Hapura Arsimore (BHE)</w:t>
      </w:r>
    </w:p>
    <w:p w14:paraId="30441DD4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Materiale VR/AR me akses të lirë që edukatorët mund t'i ripërdorin, përshtatin dhe ndajnë sipas licencave Creative Commons.</w:t>
      </w:r>
    </w:p>
    <w:p w14:paraId="40392648" w14:textId="15C642C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7E70F2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111. Bashkëpunimi Publik-Privat</w:t>
      </w:r>
    </w:p>
    <w:p w14:paraId="6CBFD71E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Projektet e përbashkëta midis industrisë dhe shkollave japin simulime autentike dhe të azhurnuara që pasqyrojnë operacionet reale.</w:t>
      </w:r>
    </w:p>
    <w:p w14:paraId="16AC869F" w14:textId="71FD516A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B54AD0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112. Zhvillimi Lokal dhe Rajonal</w:t>
      </w:r>
    </w:p>
    <w:p w14:paraId="0D04119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Teknologjitë XR mund të tërheqin investime, të krijojnë qendra inovacioni dhe të nxisin mundësitë e punësimit dixhital.</w:t>
      </w:r>
    </w:p>
    <w:p w14:paraId="7023836D" w14:textId="1E29506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D75E7E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113. Ndërmarrësia në XR</w:t>
      </w:r>
    </w:p>
    <w:p w14:paraId="4F4F6EB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Studentët mund të krijojnë përmbajtje VR, të hapin studio dizajni ose të punojnë në zhvillimin e simulimeve.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Inkurajon kreativitetin dhe vetëpunësimin.</w:t>
      </w:r>
    </w:p>
    <w:p w14:paraId="3556AFAE" w14:textId="31FDA9A0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99E7A34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114. Mendimi në Ekosistemin Dixhital</w:t>
      </w:r>
    </w:p>
    <w:p w14:paraId="2FC30E7C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Të kuptuarit se zgjidhjet VR/AR lidhin harduerin, softuerin, rrjetet dhe aftësitë njerëzore në një sistem të vetëm mësimor.</w:t>
      </w:r>
    </w:p>
    <w:p w14:paraId="690F6C9B" w14:textId="6B6139C9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FC6740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115. Përdorimi Rrethor i Pajisjeve Dixhitale</w:t>
      </w:r>
    </w:p>
    <w:p w14:paraId="4B5E758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Inkurajon riparimin, riciklimin dhe dhurimin e pajisjeve XR për të ruajtur qëndrueshmërinë.</w:t>
      </w:r>
    </w:p>
    <w:p w14:paraId="01CFAA57" w14:textId="7C882EAD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6C68D7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116. Politika dhe Qeverisja Institucionale</w:t>
      </w:r>
    </w:p>
    <w:p w14:paraId="5A2E0179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Çdo shkollë duhet të zhvillojë politika për përdorimin e të dhënave, ndarjen e pajisjeve, mirëmbajtjen dhe përfshirjen.</w:t>
      </w:r>
    </w:p>
    <w:p w14:paraId="31FB5760" w14:textId="0BF2CBFC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253BE3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117. Roli Etik i Mësuesit</w:t>
      </w:r>
    </w:p>
    <w:p w14:paraId="31B60520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Mësuesit duhet të veprojnë si udhërrëfyes, duke siguruar përgjegjësi dixhitale, drejtësi dhe mundësi të barabarta gjatë përdorimit të XR.</w:t>
      </w:r>
    </w:p>
    <w:p w14:paraId="2EEF63BC" w14:textId="0F73A28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D1E53C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118. Qytetaria Dixhitale e Studentëve</w:t>
      </w:r>
    </w:p>
    <w:p w14:paraId="7F5402A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Nxënësit mësojnë të sillen në mënyrë etike në mjedise online dhe virtuale, duke respektuar bashkëmoshatarët dhe pronën intelektuale.</w:t>
      </w:r>
    </w:p>
    <w:p w14:paraId="03CB94C1" w14:textId="6372616F" w:rsidR="008261B3" w:rsidRPr="004942C9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4942C9">
        <w:rPr>
          <w:rFonts w:eastAsia="Times New Roman"/>
          <w:b/>
          <w:bCs/>
          <w:sz w:val="22"/>
          <w:szCs w:val="22"/>
          <w:lang w:val="it-IT" w:eastAsia="tr-TR"/>
        </w:rPr>
        <w:t>PJESA VIII – KËRKIMET, POLITIKA DHE DREJTIMET E ARDHSHME</w:t>
      </w:r>
    </w:p>
    <w:p w14:paraId="34166E4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119. Plani i Veprimit për Arsimin Dixhital (2021–2027)</w:t>
      </w:r>
    </w:p>
    <w:p w14:paraId="5B927708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Strategjia e BE-së që inkurajon të gjitha shtetet anëtare të integrojnë mjetet dixhitale si XR në arsim dhe trajnim.</w:t>
      </w:r>
    </w:p>
    <w:p w14:paraId="1CED5FCD" w14:textId="3610C3BB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980F28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120. E ardhmja e arsimit e UNESCO-s</w:t>
      </w:r>
    </w:p>
    <w:p w14:paraId="42E5ABBE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Vizion global për të mësuarit gjatë gjithë jetës të përmirësuar nga teknologjia; mbështet aksesin e barabartë në të mësuarit gjithëpërfshirës.</w:t>
      </w:r>
    </w:p>
    <w:p w14:paraId="7FFA6B6A" w14:textId="3C319FB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4F7C814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121. Aftësitë e OECD-së për të Ardhmen</w:t>
      </w:r>
    </w:p>
    <w:p w14:paraId="70C389C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Thekson nevojën për zgjidhjen e problemeve komplekse, bashkëpunimin dhe njohuritë dixhitale - aftësi të kultivuara drejtpërdrejt nga XR.</w:t>
      </w:r>
    </w:p>
    <w:p w14:paraId="188A2B7B" w14:textId="56C8436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7B2D58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122. Politikat Kombëtare të Arsimit</w:t>
      </w:r>
    </w:p>
    <w:p w14:paraId="72B6F06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Vendet përcaktojnë korniza për miratimin e XR në shkolla, shpesh brenda strategjive të inovacionit dhe dixhitalizimit.</w:t>
      </w:r>
    </w:p>
    <w:p w14:paraId="6F30FD53" w14:textId="5BCFD60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57340A1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123. Projekte Kërkimore dhe Inovative</w:t>
      </w:r>
    </w:p>
    <w:p w14:paraId="7183347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Programet e BE-së, të tilla si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Erasmus+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Horizon Europe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dhe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Digital Europe,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financojnë zhvillimin e XR për modernizimin e AFP-së.</w:t>
      </w:r>
    </w:p>
    <w:p w14:paraId="51814446" w14:textId="4F51FF0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725195A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124. Praktikë e Bazuar në Dëshmi</w:t>
      </w:r>
    </w:p>
    <w:p w14:paraId="154A8F6E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Mësuesit dhe studiuesit vlerësojnë statistikisht rezultatet e të nxënit për të vërtetuar efektivitetin e XR në fitimin e kompetencës.</w:t>
      </w:r>
    </w:p>
    <w:p w14:paraId="686D1A7E" w14:textId="17B112B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C9E4212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125. Standardet e të Dhënave Arsimore</w:t>
      </w:r>
    </w:p>
    <w:p w14:paraId="1E596E6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Përdorni standarde të ndërveprueshme si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xAPI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dhe </w:t>
      </w: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SCORM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 të lidhur analizat e realitetit virtual (VR) me sistemet e menaxhimit të të nxënit.</w:t>
      </w:r>
    </w:p>
    <w:p w14:paraId="67ED324B" w14:textId="7F27131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1AF4F06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126. Mësim i Personalizuar i Drejtuar nga IA</w:t>
      </w:r>
    </w:p>
    <w:p w14:paraId="0D77629D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Inteligjenca artificiale përshtat rrugët e të nxënit, duke ofruar reagime të individualizuara dhe ritëm adaptiv.</w:t>
      </w:r>
    </w:p>
    <w:p w14:paraId="380ED4D0" w14:textId="1915920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C06F6B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127. Laboratorët Virtualë të Kërkimit</w:t>
      </w:r>
    </w:p>
    <w:p w14:paraId="2234C64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Studentët mund të kenë qasje në kopje dixhitale të laboratorëve të universitetit ose të kompanisë për eksperimentim dhe mbledhje të të dhënave.</w:t>
      </w:r>
    </w:p>
    <w:p w14:paraId="5DA7FAF8" w14:textId="6B8F396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053E020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128. Mësimi gjatë gjithë jetës dhe përmirësimi i aftësive</w:t>
      </w:r>
    </w:p>
    <w:p w14:paraId="7CC9F1E8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 e zgjeron arsimin përtej shkollës tek nxënësit e rritur, ndërmarrjet e vogla dhe të mesme dhe programet e rikualifikimit.</w:t>
      </w:r>
    </w:p>
    <w:p w14:paraId="6A5239A7" w14:textId="709A2D16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F7ABCE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129. Bashkëpunim Ndërkombëtar</w:t>
      </w:r>
    </w:p>
    <w:p w14:paraId="52AE69DF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Programet e shkëmbimit virtual u mundësojnë nxënësve nga vende të ndryshme të punojnë së bashku në mjedise të përbashkëta VR.</w:t>
      </w:r>
    </w:p>
    <w:p w14:paraId="08207C70" w14:textId="65C08AD1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15281C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130. Mësimi Social dhe Kulturor</w:t>
      </w:r>
    </w:p>
    <w:p w14:paraId="354A2FEC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Skenarët gjithëpërfshirës mund të mësojnë empatinë, punën në grup dhe mirëkuptimin ndërkulturor.</w:t>
      </w:r>
    </w:p>
    <w:p w14:paraId="7A1D4F24" w14:textId="269A6E6F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172132F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131. Kampuset e Realitetit Hibrid</w:t>
      </w:r>
    </w:p>
    <w:p w14:paraId="2056DCB3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Institucionet e së ardhmes do të kombinojnë punëtoritë fizike me mjediset virtuale për përvoja të të nxënit pa probleme.</w:t>
      </w:r>
    </w:p>
    <w:p w14:paraId="3F5D84B6" w14:textId="0D8B717E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1B9111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132. 5G dhe Lidhshmëria e Gjeneratës së Ardhshme</w:t>
      </w:r>
    </w:p>
    <w:p w14:paraId="33D2349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Rrjete me shpejtësi të lartë dhe me vonesë të ulët, thelbësore për transmetim të qetë VR/AR me shumë përdorues.</w:t>
      </w:r>
    </w:p>
    <w:p w14:paraId="22386165" w14:textId="0A7678D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7FD36AE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133. Ndërfaqet Tru-Kompjuter (BCI)</w:t>
      </w:r>
    </w:p>
    <w:p w14:paraId="7827ACFD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Sisteme në zhvillim që lejojnë komunikim të drejtpërdrejtë midis sinjaleve të trurit dhe pajisjeve dixhitale, duke krijuar përvoja ultra-gjithëpërfshirëse.</w:t>
      </w:r>
    </w:p>
    <w:p w14:paraId="252468D0" w14:textId="398DA81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0D5B3A1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134. Ekrane holografike</w:t>
      </w:r>
    </w:p>
    <w:p w14:paraId="2158E695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Pamje 3D të projektuara në hapësirë pa kufje.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Alternativë e mundshme në të ardhmen për demonstrime në klasë.</w:t>
      </w:r>
    </w:p>
    <w:p w14:paraId="6A92935B" w14:textId="7E067498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42BFC5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135. Vlerësimi i Realitetit të Zgjeruar (XR)</w:t>
      </w:r>
    </w:p>
    <w:p w14:paraId="767D45F6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Vlerësim holistik që kombinon rezultatet e të nxënit psikomotorik, kognitiv dhe afektiv brenda skenarëve gjithëpërfshirës.</w:t>
      </w:r>
    </w:p>
    <w:p w14:paraId="3EF1E7D4" w14:textId="58B3D6AA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157746C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136. Tregim gjithëpërfshirës</w:t>
      </w:r>
    </w:p>
    <w:p w14:paraId="731A4D37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Përdorimi i teknikave narrative për të krijuar mësime VR që tërheqin emocionalisht, duke përmirësuar ruajtjen e kujtesës.</w:t>
      </w:r>
    </w:p>
    <w:p w14:paraId="53112C18" w14:textId="063F23E2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D56AF6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137. Bashkëpunimi Ndër-Realitet</w:t>
      </w:r>
    </w:p>
    <w:p w14:paraId="1A753BD5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Përdorimi i njëkohshëm i ndërfaqeve VR, AR dhe desktop nga përdorues të ndryshëm që punojnë në të njëjtin model dixhital.</w:t>
      </w:r>
    </w:p>
    <w:p w14:paraId="1E851367" w14:textId="3F504CB3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24612A8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138. Platformat e Simulimit me Shumë Përdorues</w:t>
      </w:r>
    </w:p>
    <w:p w14:paraId="0546B8BC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Fabrika ose spitale virtuale të përbashkëta që u lejojnë nxënësve të shumtë të kryejnë operacione të koordinuara.</w:t>
      </w:r>
    </w:p>
    <w:p w14:paraId="0529C7F6" w14:textId="069B4054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EE8DCAB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139. Metaverse i hapur për arsim</w:t>
      </w:r>
    </w:p>
    <w:p w14:paraId="36665DB8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Botë virtuale të ndërlidhura ku nxënësit dhe mësuesit mund të ndajnë burime, të marrin pjesë në evente dhe të bashkëpunojnë globalisht.</w:t>
      </w:r>
    </w:p>
    <w:p w14:paraId="10262E45" w14:textId="0CFF8D11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3C9B90D" w14:textId="77777777" w:rsidR="008261B3" w:rsidRPr="004942C9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140. E ardhmja e XR në AFP</w:t>
      </w:r>
    </w:p>
    <w:p w14:paraId="0CCCF31B" w14:textId="77777777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Deri në vitin 2035, të mësuarit gjithëpërfshirës do të bëhet standard në trajnimin teknik dhe profesional, duke bashkuar hapësirat e punës reale dhe virtuale. </w:t>
      </w:r>
      <w:r w:rsidRPr="004942C9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Të diplomuarit do të zotërojnë aftësitë manuale dhe dixhitale përmes praktikës hibride.</w:t>
      </w:r>
    </w:p>
    <w:p w14:paraId="2D96FBF2" w14:textId="42D381A5" w:rsidR="008261B3" w:rsidRPr="004942C9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B290C7" w14:textId="77777777" w:rsidR="006243DE" w:rsidRPr="004942C9" w:rsidRDefault="008261B3" w:rsidP="006243DE">
      <w:pPr>
        <w:pStyle w:val="NormalWeb"/>
        <w:jc w:val="both"/>
        <w:rPr>
          <w:i/>
          <w:iCs/>
          <w:sz w:val="22"/>
          <w:szCs w:val="22"/>
          <w:lang w:val="it-IT"/>
        </w:rPr>
      </w:pPr>
      <w:r w:rsidRPr="004942C9">
        <w:rPr>
          <w:i/>
          <w:iCs/>
          <w:sz w:val="22"/>
          <w:szCs w:val="22"/>
          <w:lang w:val="it-IT"/>
        </w:rPr>
        <w:t xml:space="preserve">Çolakoğlu, MH (2025). </w:t>
      </w:r>
      <w:r w:rsidRPr="004942C9">
        <w:rPr>
          <w:rStyle w:val="Vurgu"/>
          <w:rFonts w:eastAsiaTheme="majorEastAsia"/>
          <w:i w:val="0"/>
          <w:iCs w:val="0"/>
          <w:sz w:val="22"/>
          <w:szCs w:val="22"/>
          <w:lang w:val="it-IT"/>
        </w:rPr>
        <w:t xml:space="preserve">Realiteti Virtual, i Shtuar dhe i Përzier – Fjalor Shpjegues për Shkollat e AFP-së (EQF Niveli 4). </w:t>
      </w:r>
      <w:r w:rsidRPr="004942C9">
        <w:rPr>
          <w:i/>
          <w:iCs/>
          <w:sz w:val="22"/>
          <w:szCs w:val="22"/>
          <w:lang w:val="it-IT"/>
        </w:rPr>
        <w:t>INSTITUTI I INOVACIONIT TË KAPADOKISË.</w:t>
      </w:r>
    </w:p>
    <w:p w14:paraId="6081F059" w14:textId="7187D323" w:rsidR="008261B3" w:rsidRPr="006243DE" w:rsidRDefault="008261B3" w:rsidP="006243DE">
      <w:pPr>
        <w:pStyle w:val="NormalWeb"/>
        <w:jc w:val="both"/>
        <w:rPr>
          <w:i/>
          <w:iCs/>
          <w:sz w:val="22"/>
          <w:szCs w:val="22"/>
          <w:lang w:val="en-GB"/>
        </w:rPr>
      </w:pPr>
      <w:r w:rsidRPr="004942C9">
        <w:rPr>
          <w:i/>
          <w:iCs/>
          <w:sz w:val="22"/>
          <w:szCs w:val="22"/>
          <w:lang w:val="it-IT"/>
        </w:rPr>
        <w:t xml:space="preserve">[CC BY 4.0] </w:t>
      </w:r>
      <w:r w:rsidR="006243DE" w:rsidRPr="004942C9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it-IT"/>
        </w:rPr>
        <w:t xml:space="preserve">Kopjoni, rishpërndani, ripërzieni, transformoni dhe ndërtoni mbi </w:t>
      </w:r>
      <w:r w:rsidR="006243DE" w:rsidRPr="004942C9">
        <w:rPr>
          <w:i/>
          <w:iCs/>
          <w:sz w:val="22"/>
          <w:szCs w:val="22"/>
          <w:lang w:val="it-IT"/>
        </w:rPr>
        <w:t xml:space="preserve">materialin. Përdoreni lirisht për </w:t>
      </w:r>
      <w:r w:rsidR="006243DE" w:rsidRPr="004942C9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it-IT"/>
        </w:rPr>
        <w:t xml:space="preserve">qëllime edukative, kërkimore ose komerciale </w:t>
      </w:r>
      <w:r w:rsidR="006243DE" w:rsidRPr="004942C9">
        <w:rPr>
          <w:i/>
          <w:iCs/>
          <w:sz w:val="22"/>
          <w:szCs w:val="22"/>
          <w:lang w:val="it-IT"/>
        </w:rPr>
        <w:t xml:space="preserve">. Për sa kohë që autorit origjinal ( </w:t>
      </w:r>
      <w:r w:rsidR="006243DE" w:rsidRPr="004942C9">
        <w:rPr>
          <w:rStyle w:val="Vurgu"/>
          <w:rFonts w:eastAsiaTheme="majorEastAsia"/>
          <w:i w:val="0"/>
          <w:iCs w:val="0"/>
          <w:sz w:val="22"/>
          <w:szCs w:val="22"/>
          <w:lang w:val="it-IT"/>
        </w:rPr>
        <w:t xml:space="preserve">Mustafa Hilmi Çolakoğlu ) i </w:t>
      </w:r>
      <w:r w:rsidR="006243DE" w:rsidRPr="004942C9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it-IT"/>
        </w:rPr>
        <w:t xml:space="preserve">jepet merita e duhur </w:t>
      </w:r>
      <w:r w:rsidR="006243DE" w:rsidRPr="004942C9">
        <w:rPr>
          <w:i/>
          <w:iCs/>
          <w:sz w:val="22"/>
          <w:szCs w:val="22"/>
          <w:lang w:val="it-IT"/>
        </w:rPr>
        <w:t xml:space="preserve">.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Më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 xml:space="preserve">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shumë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 xml:space="preserve">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informacion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>: https://creativecommons.org/licenses/by/4.0/</w:t>
      </w:r>
    </w:p>
    <w:p w14:paraId="0EA80264" w14:textId="77777777" w:rsidR="00777F0A" w:rsidRPr="008261B3" w:rsidRDefault="00777F0A" w:rsidP="008261B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261B3" w:rsidSect="004942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F16F6" w14:textId="77777777" w:rsidR="0048741D" w:rsidRDefault="0048741D" w:rsidP="006243DE">
      <w:pPr>
        <w:spacing w:after="0" w:line="240" w:lineRule="auto"/>
      </w:pPr>
      <w:r>
        <w:separator/>
      </w:r>
    </w:p>
  </w:endnote>
  <w:endnote w:type="continuationSeparator" w:id="0">
    <w:p w14:paraId="20DFBCF2" w14:textId="77777777" w:rsidR="0048741D" w:rsidRDefault="0048741D" w:rsidP="0062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FDD1" w14:textId="77777777" w:rsidR="004942C9" w:rsidRDefault="004942C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C91B" w14:textId="4A11C501" w:rsidR="004942C9" w:rsidRDefault="004942C9">
    <w:pPr>
      <w:pStyle w:val="AltBilgi"/>
    </w:pPr>
    <w:r>
      <w:rPr>
        <w:noProof/>
      </w:rPr>
      <w:drawing>
        <wp:inline distT="0" distB="0" distL="0" distR="0" wp14:anchorId="6FAD766A" wp14:editId="0011E884">
          <wp:extent cx="5755005" cy="463550"/>
          <wp:effectExtent l="0" t="0" r="0" b="0"/>
          <wp:docPr id="456543794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0B0F" w14:textId="77777777" w:rsidR="004942C9" w:rsidRDefault="004942C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C7A75" w14:textId="77777777" w:rsidR="0048741D" w:rsidRDefault="0048741D" w:rsidP="006243DE">
      <w:pPr>
        <w:spacing w:after="0" w:line="240" w:lineRule="auto"/>
      </w:pPr>
      <w:r>
        <w:separator/>
      </w:r>
    </w:p>
  </w:footnote>
  <w:footnote w:type="continuationSeparator" w:id="0">
    <w:p w14:paraId="0293D7AD" w14:textId="77777777" w:rsidR="0048741D" w:rsidRDefault="0048741D" w:rsidP="0062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929D" w14:textId="77777777" w:rsidR="004942C9" w:rsidRDefault="004942C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292926"/>
      <w:docPartObj>
        <w:docPartGallery w:val="Page Numbers (Margins)"/>
        <w:docPartUnique/>
      </w:docPartObj>
    </w:sdtPr>
    <w:sdtContent>
      <w:p w14:paraId="763238DD" w14:textId="1B460C3E" w:rsidR="006243DE" w:rsidRDefault="006243DE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A57A4F" wp14:editId="56E724F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6859262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22F92" w14:textId="77777777" w:rsidR="006243DE" w:rsidRDefault="006243DE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A57A4F" id="Dikdörtgen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45522F92" w14:textId="77777777" w:rsidR="006243DE" w:rsidRDefault="006243DE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D7E63" w14:textId="77777777" w:rsidR="004942C9" w:rsidRDefault="004942C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096A"/>
    <w:multiLevelType w:val="multilevel"/>
    <w:tmpl w:val="53B0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3EFC"/>
    <w:multiLevelType w:val="multilevel"/>
    <w:tmpl w:val="32B4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2D78FD"/>
    <w:multiLevelType w:val="multilevel"/>
    <w:tmpl w:val="B2C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272602">
    <w:abstractNumId w:val="0"/>
  </w:num>
  <w:num w:numId="2" w16cid:durableId="1797946916">
    <w:abstractNumId w:val="1"/>
  </w:num>
  <w:num w:numId="3" w16cid:durableId="269897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B3"/>
    <w:rsid w:val="001E497E"/>
    <w:rsid w:val="0031522C"/>
    <w:rsid w:val="0048741D"/>
    <w:rsid w:val="004942C9"/>
    <w:rsid w:val="006243DE"/>
    <w:rsid w:val="00670C1B"/>
    <w:rsid w:val="006825CA"/>
    <w:rsid w:val="006A2B9C"/>
    <w:rsid w:val="00721A5E"/>
    <w:rsid w:val="00734185"/>
    <w:rsid w:val="00777F0A"/>
    <w:rsid w:val="008156A5"/>
    <w:rsid w:val="008261B3"/>
    <w:rsid w:val="009648BA"/>
    <w:rsid w:val="0097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225FC"/>
  <w15:chartTrackingRefBased/>
  <w15:docId w15:val="{A7035004-846C-40F0-9C2E-7A04784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q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61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q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61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q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61B3"/>
    <w:rPr>
      <w:rFonts w:eastAsiaTheme="majorEastAsia" w:cstheme="majorBidi"/>
      <w:color w:val="0F4761" w:themeColor="accent1" w:themeShade="BF"/>
      <w:sz w:val="28"/>
      <w:szCs w:val="28"/>
      <w:lang w:val="sq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61B3"/>
    <w:rPr>
      <w:rFonts w:eastAsiaTheme="majorEastAsia" w:cstheme="majorBidi"/>
      <w:i/>
      <w:iCs/>
      <w:color w:val="0F4761" w:themeColor="accent1" w:themeShade="BF"/>
      <w:lang w:val="sq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61B3"/>
    <w:rPr>
      <w:rFonts w:eastAsiaTheme="majorEastAsia" w:cstheme="majorBidi"/>
      <w:color w:val="0F4761" w:themeColor="accent1" w:themeShade="BF"/>
      <w:lang w:val="sq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61B3"/>
    <w:rPr>
      <w:rFonts w:eastAsiaTheme="majorEastAsia" w:cstheme="majorBidi"/>
      <w:i/>
      <w:iCs/>
      <w:color w:val="595959" w:themeColor="text1" w:themeTint="A6"/>
      <w:lang w:val="sq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61B3"/>
    <w:rPr>
      <w:rFonts w:eastAsiaTheme="majorEastAsia" w:cstheme="majorBidi"/>
      <w:color w:val="595959" w:themeColor="text1" w:themeTint="A6"/>
      <w:lang w:val="sq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61B3"/>
    <w:rPr>
      <w:rFonts w:eastAsiaTheme="majorEastAsia" w:cstheme="majorBidi"/>
      <w:i/>
      <w:iCs/>
      <w:color w:val="272727" w:themeColor="text1" w:themeTint="D8"/>
      <w:lang w:val="sq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61B3"/>
    <w:rPr>
      <w:rFonts w:eastAsiaTheme="majorEastAsia" w:cstheme="majorBidi"/>
      <w:color w:val="272727" w:themeColor="text1" w:themeTint="D8"/>
      <w:lang w:val="sq"/>
    </w:rPr>
  </w:style>
  <w:style w:type="paragraph" w:styleId="KonuBal">
    <w:name w:val="Title"/>
    <w:basedOn w:val="Normal"/>
    <w:next w:val="Normal"/>
    <w:link w:val="KonuBalChar"/>
    <w:uiPriority w:val="10"/>
    <w:qFormat/>
    <w:rsid w:val="0082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61B3"/>
    <w:rPr>
      <w:rFonts w:asciiTheme="majorHAnsi" w:eastAsiaTheme="majorEastAsia" w:hAnsiTheme="majorHAnsi" w:cstheme="majorBidi"/>
      <w:spacing w:val="-10"/>
      <w:kern w:val="28"/>
      <w:sz w:val="56"/>
      <w:szCs w:val="56"/>
      <w:lang w:val="sq"/>
    </w:rPr>
  </w:style>
  <w:style w:type="paragraph" w:styleId="Altyaz">
    <w:name w:val="Subtitle"/>
    <w:basedOn w:val="Normal"/>
    <w:next w:val="Normal"/>
    <w:link w:val="AltyazChar"/>
    <w:uiPriority w:val="11"/>
    <w:qFormat/>
    <w:rsid w:val="0082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61B3"/>
    <w:rPr>
      <w:rFonts w:eastAsiaTheme="majorEastAsia" w:cstheme="majorBidi"/>
      <w:color w:val="595959" w:themeColor="text1" w:themeTint="A6"/>
      <w:spacing w:val="15"/>
      <w:sz w:val="28"/>
      <w:szCs w:val="28"/>
      <w:lang w:val="sq"/>
    </w:rPr>
  </w:style>
  <w:style w:type="paragraph" w:styleId="Alnt">
    <w:name w:val="Quote"/>
    <w:basedOn w:val="Normal"/>
    <w:next w:val="Normal"/>
    <w:link w:val="AlntChar"/>
    <w:uiPriority w:val="29"/>
    <w:qFormat/>
    <w:rsid w:val="0082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61B3"/>
    <w:rPr>
      <w:i/>
      <w:iCs/>
      <w:color w:val="404040" w:themeColor="text1" w:themeTint="BF"/>
      <w:lang w:val="sq"/>
    </w:rPr>
  </w:style>
  <w:style w:type="paragraph" w:styleId="ListeParagraf">
    <w:name w:val="List Paragraph"/>
    <w:basedOn w:val="Normal"/>
    <w:uiPriority w:val="34"/>
    <w:qFormat/>
    <w:rsid w:val="008261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61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61B3"/>
    <w:rPr>
      <w:i/>
      <w:iCs/>
      <w:color w:val="0F4761" w:themeColor="accent1" w:themeShade="BF"/>
      <w:lang w:val="sq"/>
    </w:rPr>
  </w:style>
  <w:style w:type="character" w:styleId="GlBavuru">
    <w:name w:val="Intense Reference"/>
    <w:basedOn w:val="VarsaylanParagrafYazTipi"/>
    <w:uiPriority w:val="32"/>
    <w:qFormat/>
    <w:rsid w:val="008261B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2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261B3"/>
    <w:rPr>
      <w:b/>
      <w:bCs/>
    </w:rPr>
  </w:style>
  <w:style w:type="character" w:styleId="Vurgu">
    <w:name w:val="Emphasis"/>
    <w:basedOn w:val="VarsaylanParagrafYazTipi"/>
    <w:uiPriority w:val="20"/>
    <w:qFormat/>
    <w:rsid w:val="008261B3"/>
    <w:rPr>
      <w:i/>
      <w:iCs/>
    </w:rPr>
  </w:style>
  <w:style w:type="paragraph" w:styleId="TBal">
    <w:name w:val="TOC Heading"/>
    <w:basedOn w:val="Balk1"/>
    <w:next w:val="Normal"/>
    <w:uiPriority w:val="39"/>
    <w:unhideWhenUsed/>
    <w:qFormat/>
    <w:rsid w:val="006243DE"/>
    <w:pPr>
      <w:spacing w:before="240" w:after="0" w:line="259" w:lineRule="auto"/>
      <w:outlineLvl w:val="9"/>
    </w:pPr>
    <w:rPr>
      <w:kern w:val="0"/>
      <w:sz w:val="32"/>
      <w:szCs w:val="32"/>
      <w:lang w:eastAsia="tr-TR"/>
      <w14:ligatures w14:val="none"/>
    </w:rPr>
  </w:style>
  <w:style w:type="paragraph" w:styleId="T1">
    <w:name w:val="toc 1"/>
    <w:basedOn w:val="Normal"/>
    <w:next w:val="Normal"/>
    <w:autoRedefine/>
    <w:uiPriority w:val="39"/>
    <w:unhideWhenUsed/>
    <w:rsid w:val="006243DE"/>
    <w:pPr>
      <w:spacing w:after="100"/>
    </w:pPr>
  </w:style>
  <w:style w:type="paragraph" w:styleId="T3">
    <w:name w:val="toc 3"/>
    <w:basedOn w:val="Normal"/>
    <w:next w:val="Normal"/>
    <w:autoRedefine/>
    <w:uiPriority w:val="39"/>
    <w:unhideWhenUsed/>
    <w:rsid w:val="006243DE"/>
    <w:pPr>
      <w:spacing w:after="100"/>
      <w:ind w:left="480"/>
    </w:pPr>
  </w:style>
  <w:style w:type="paragraph" w:styleId="T2">
    <w:name w:val="toc 2"/>
    <w:basedOn w:val="Normal"/>
    <w:next w:val="Normal"/>
    <w:autoRedefine/>
    <w:uiPriority w:val="39"/>
    <w:unhideWhenUsed/>
    <w:rsid w:val="006243DE"/>
    <w:pPr>
      <w:spacing w:after="100"/>
      <w:ind w:left="240"/>
    </w:pPr>
    <w:rPr>
      <w:rFonts w:eastAsiaTheme="minorEastAsia"/>
      <w:lang w:eastAsia="tr-TR"/>
    </w:rPr>
  </w:style>
  <w:style w:type="paragraph" w:styleId="T4">
    <w:name w:val="toc 4"/>
    <w:basedOn w:val="Normal"/>
    <w:next w:val="Normal"/>
    <w:autoRedefine/>
    <w:uiPriority w:val="39"/>
    <w:unhideWhenUsed/>
    <w:rsid w:val="006243DE"/>
    <w:pPr>
      <w:spacing w:after="100"/>
      <w:ind w:left="720"/>
    </w:pPr>
    <w:rPr>
      <w:rFonts w:eastAsiaTheme="minorEastAsia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243DE"/>
    <w:pPr>
      <w:spacing w:after="100"/>
      <w:ind w:left="960"/>
    </w:pPr>
    <w:rPr>
      <w:rFonts w:eastAsiaTheme="minorEastAsia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243DE"/>
    <w:pPr>
      <w:spacing w:after="100"/>
      <w:ind w:left="1200"/>
    </w:pPr>
    <w:rPr>
      <w:rFonts w:eastAsiaTheme="minorEastAsia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243DE"/>
    <w:pPr>
      <w:spacing w:after="100"/>
      <w:ind w:left="1440"/>
    </w:pPr>
    <w:rPr>
      <w:rFonts w:eastAsiaTheme="minorEastAsia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243DE"/>
    <w:pPr>
      <w:spacing w:after="100"/>
      <w:ind w:left="1680"/>
    </w:pPr>
    <w:rPr>
      <w:rFonts w:eastAsiaTheme="minorEastAsia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243DE"/>
    <w:pPr>
      <w:spacing w:after="100"/>
      <w:ind w:left="1920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3DE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243D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3DE"/>
    <w:rPr>
      <w:lang w:val="sq"/>
    </w:rPr>
  </w:style>
  <w:style w:type="paragraph" w:styleId="AltBilgi">
    <w:name w:val="footer"/>
    <w:basedOn w:val="Normal"/>
    <w:link w:val="Al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3DE"/>
    <w:rPr>
      <w:lang w:val="s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B14A-0757-4E05-9CB6-609BFB93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12</Pages>
  <Words>3864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3</cp:revision>
  <dcterms:created xsi:type="dcterms:W3CDTF">2025-11-10T15:32:00Z</dcterms:created>
  <dcterms:modified xsi:type="dcterms:W3CDTF">2026-05-07T13:10:00Z</dcterms:modified>
</cp:coreProperties>
</file>